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0C4F2" w14:textId="5E70B50E" w:rsidR="007653BB" w:rsidRDefault="007653BB" w:rsidP="007653B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Start w:id="1" w:name="_Ref462675860"/>
      <w:bookmarkEnd w:id="0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</w:r>
      <w:r w:rsidR="00D2004A" w:rsidRPr="00D2004A">
        <w:rPr>
          <w:rFonts w:cs="Arial"/>
          <w:sz w:val="24"/>
          <w:szCs w:val="24"/>
          <w:lang w:eastAsia="zh-CN"/>
        </w:rPr>
        <w:t>R4-2418603</w:t>
      </w:r>
    </w:p>
    <w:p w14:paraId="351034C2" w14:textId="77777777" w:rsidR="007653BB" w:rsidRPr="0052514D" w:rsidRDefault="007653BB" w:rsidP="007653B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389AA48" w14:textId="3C15AC53" w:rsidR="00447550" w:rsidRPr="00C13DA6" w:rsidRDefault="00447550" w:rsidP="001841B1">
      <w:pPr>
        <w:rPr>
          <w:rFonts w:ascii="Arial" w:hAnsi="Arial" w:cs="Arial"/>
          <w:b/>
        </w:rPr>
      </w:pPr>
      <w:r>
        <w:rPr>
          <w:rFonts w:cs="Arial"/>
          <w:b/>
          <w:sz w:val="24"/>
        </w:rPr>
        <w:br/>
      </w:r>
    </w:p>
    <w:p w14:paraId="75E5446D" w14:textId="564B4B1E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827913">
        <w:rPr>
          <w:rFonts w:ascii="Arial" w:hAnsi="Arial"/>
          <w:sz w:val="24"/>
        </w:rPr>
        <w:t>7</w:t>
      </w:r>
      <w:r w:rsidR="006B0E0F">
        <w:rPr>
          <w:rFonts w:ascii="Arial" w:hAnsi="Arial"/>
          <w:sz w:val="24"/>
        </w:rPr>
        <w:t>.</w:t>
      </w:r>
      <w:r w:rsidR="00FE5EE9">
        <w:rPr>
          <w:rFonts w:ascii="Arial" w:hAnsi="Arial"/>
          <w:sz w:val="24"/>
        </w:rPr>
        <w:t>20</w:t>
      </w:r>
      <w:r w:rsidR="006B0E0F">
        <w:rPr>
          <w:rFonts w:ascii="Arial" w:hAnsi="Arial"/>
          <w:sz w:val="24"/>
        </w:rPr>
        <w:t>.</w:t>
      </w:r>
      <w:r w:rsidR="00560D4B">
        <w:rPr>
          <w:rFonts w:ascii="Arial" w:hAnsi="Arial"/>
          <w:sz w:val="24"/>
        </w:rPr>
        <w:t>2.</w:t>
      </w:r>
      <w:r w:rsidR="00CE5C29">
        <w:rPr>
          <w:rFonts w:ascii="Arial" w:hAnsi="Arial"/>
          <w:sz w:val="24"/>
        </w:rPr>
        <w:t>2</w:t>
      </w:r>
    </w:p>
    <w:p w14:paraId="777EF737" w14:textId="77777777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5CDEEF4A" w14:textId="4F3EA821" w:rsidR="00A37CEF" w:rsidRPr="00785E35" w:rsidRDefault="00A37CEF" w:rsidP="002A087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582C3B">
        <w:rPr>
          <w:rFonts w:ascii="Arial" w:hAnsi="Arial"/>
          <w:sz w:val="24"/>
        </w:rPr>
        <w:t xml:space="preserve">Views on </w:t>
      </w:r>
      <w:r w:rsidR="006F730F">
        <w:rPr>
          <w:rFonts w:ascii="Arial" w:hAnsi="Arial"/>
          <w:sz w:val="24"/>
        </w:rPr>
        <w:t xml:space="preserve">existing </w:t>
      </w:r>
      <w:r w:rsidR="00CE5C29">
        <w:rPr>
          <w:rFonts w:ascii="Arial" w:hAnsi="Arial"/>
          <w:sz w:val="24"/>
        </w:rPr>
        <w:t xml:space="preserve">Tx </w:t>
      </w:r>
      <w:r w:rsidR="006F730F">
        <w:rPr>
          <w:rFonts w:ascii="Arial" w:hAnsi="Arial"/>
          <w:sz w:val="24"/>
        </w:rPr>
        <w:t>BS RF requirements</w:t>
      </w:r>
      <w:r w:rsidR="007E49C0">
        <w:rPr>
          <w:rFonts w:ascii="Arial" w:hAnsi="Arial"/>
          <w:sz w:val="24"/>
        </w:rPr>
        <w:t xml:space="preserve"> for </w:t>
      </w:r>
      <w:r w:rsidR="006F730F">
        <w:rPr>
          <w:rFonts w:ascii="Arial" w:hAnsi="Arial"/>
          <w:sz w:val="24"/>
        </w:rPr>
        <w:t>SBFD</w:t>
      </w:r>
    </w:p>
    <w:p w14:paraId="6F8EE2E4" w14:textId="2FD7F559" w:rsidR="00A37CEF" w:rsidRPr="00785E35" w:rsidRDefault="00A37CEF" w:rsidP="002A087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="00705014">
        <w:rPr>
          <w:rFonts w:ascii="Arial" w:hAnsi="Arial"/>
          <w:sz w:val="24"/>
        </w:rPr>
        <w:t>Approval</w:t>
      </w:r>
      <w:r w:rsidR="00E02445">
        <w:rPr>
          <w:rFonts w:ascii="Arial" w:hAnsi="Arial"/>
          <w:sz w:val="24"/>
        </w:rPr>
        <w:t xml:space="preserve"> </w:t>
      </w:r>
    </w:p>
    <w:p w14:paraId="57A32C14" w14:textId="77777777" w:rsidR="00A37CEF" w:rsidRPr="00785E35" w:rsidRDefault="00A37CEF" w:rsidP="002A0877">
      <w:pPr>
        <w:pStyle w:val="Heading1"/>
        <w:jc w:val="both"/>
      </w:pPr>
      <w:bookmarkStart w:id="4" w:name="_Ref465963108"/>
      <w:r w:rsidRPr="00785E35">
        <w:t>Introduction</w:t>
      </w:r>
      <w:bookmarkEnd w:id="1"/>
      <w:bookmarkEnd w:id="4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09397D2F" w:rsidR="00A37CEF" w:rsidRDefault="003B2119" w:rsidP="002A0877">
      <w:pPr>
        <w:jc w:val="both"/>
      </w:pPr>
      <w:r>
        <w:t>In RAN4#11</w:t>
      </w:r>
      <w:r w:rsidR="00B22D42">
        <w:t>2bis</w:t>
      </w:r>
      <w:r>
        <w:t xml:space="preserve">, a WF was agreed in [3] based on some of the topics listed in the moderator summary, that is summarized in [2]. In this contribution, </w:t>
      </w:r>
      <w:r w:rsidR="00A37CEF">
        <w:t xml:space="preserve">we </w:t>
      </w:r>
      <w:r w:rsidR="00EB7153">
        <w:t xml:space="preserve">share our views on </w:t>
      </w:r>
      <w:r w:rsidR="002E21FA">
        <w:t xml:space="preserve">existing BS RF requirements </w:t>
      </w:r>
      <w:r w:rsidR="00EF49CD">
        <w:t xml:space="preserve">for Rel-19 SBFD. </w:t>
      </w:r>
    </w:p>
    <w:p w14:paraId="7ACEA9AF" w14:textId="18116DF3" w:rsidR="00D15EE0" w:rsidRDefault="00D15EE0" w:rsidP="00D15EE0">
      <w:pPr>
        <w:pStyle w:val="Heading1"/>
      </w:pPr>
      <w:r>
        <w:t xml:space="preserve">Discussion </w:t>
      </w:r>
    </w:p>
    <w:p w14:paraId="1E1B9BFC" w14:textId="5F6D7F8C" w:rsidR="00543C13" w:rsidRDefault="002D6C8C" w:rsidP="00D15EE0">
      <w:pPr>
        <w:pStyle w:val="Heading2"/>
      </w:pPr>
      <w:r>
        <w:t xml:space="preserve">ACLR and OBUE </w:t>
      </w:r>
    </w:p>
    <w:p w14:paraId="70D08469" w14:textId="77777777" w:rsidR="00767151" w:rsidRDefault="00767151" w:rsidP="0091595A">
      <w:pPr>
        <w:jc w:val="both"/>
        <w:rPr>
          <w:lang w:val="en-GB"/>
        </w:rPr>
      </w:pPr>
      <w:r>
        <w:rPr>
          <w:lang w:val="en-GB"/>
        </w:rPr>
        <w:t xml:space="preserve">In [2], the following was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67151" w14:paraId="1F1620A4" w14:textId="77777777" w:rsidTr="00767151">
        <w:tc>
          <w:tcPr>
            <w:tcW w:w="9962" w:type="dxa"/>
          </w:tcPr>
          <w:p w14:paraId="485812ED" w14:textId="77777777" w:rsidR="006F6280" w:rsidRPr="006F6280" w:rsidRDefault="006F6280" w:rsidP="006F6280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Theme="minorEastAsia" w:hAnsi="Times New Roman"/>
              </w:rPr>
            </w:pPr>
            <w:r w:rsidRPr="006F6280">
              <w:rPr>
                <w:rFonts w:ascii="Times New Roman" w:eastAsiaTheme="minorEastAsia" w:hAnsi="Times New Roman"/>
              </w:rPr>
              <w:t>FFS on the followings:</w:t>
            </w:r>
          </w:p>
          <w:p w14:paraId="75DADE6B" w14:textId="77777777" w:rsidR="006F6280" w:rsidRPr="006F6280" w:rsidRDefault="006F6280" w:rsidP="006F6280">
            <w:pPr>
              <w:pStyle w:val="ListParagraph"/>
              <w:numPr>
                <w:ilvl w:val="1"/>
                <w:numId w:val="30"/>
              </w:numPr>
              <w:autoSpaceDN w:val="0"/>
              <w:spacing w:before="0" w:line="256" w:lineRule="auto"/>
              <w:ind w:left="1656"/>
              <w:rPr>
                <w:rFonts w:ascii="Times New Roman" w:hAnsi="Times New Roman"/>
              </w:rPr>
            </w:pPr>
            <w:r w:rsidRPr="006F6280">
              <w:rPr>
                <w:rFonts w:ascii="Times New Roman" w:hAnsi="Times New Roman"/>
              </w:rPr>
              <w:t>Whether to define additional ACLR and/or OBUE requirement to ensure feasible coexistence with SBFD-capable gNB firstly?</w:t>
            </w:r>
          </w:p>
          <w:p w14:paraId="6893A448" w14:textId="77777777" w:rsidR="006F6280" w:rsidRPr="006F6280" w:rsidRDefault="006F6280" w:rsidP="006F6280">
            <w:pPr>
              <w:pStyle w:val="ListParagraph"/>
              <w:numPr>
                <w:ilvl w:val="2"/>
                <w:numId w:val="30"/>
              </w:numPr>
              <w:autoSpaceDN w:val="0"/>
              <w:spacing w:before="0" w:line="256" w:lineRule="auto"/>
              <w:ind w:left="2376"/>
              <w:rPr>
                <w:rFonts w:ascii="Times New Roman" w:eastAsiaTheme="minorEastAsia" w:hAnsi="Times New Roman"/>
              </w:rPr>
            </w:pPr>
            <w:r w:rsidRPr="006F6280">
              <w:rPr>
                <w:rFonts w:ascii="Times New Roman" w:eastAsiaTheme="minorEastAsia" w:hAnsi="Times New Roman"/>
              </w:rPr>
              <w:t xml:space="preserve">Option 1: Yes, since legacy ACLR and OBUE requirement might not be sufficient to ensure feasible coexistence. </w:t>
            </w:r>
          </w:p>
          <w:p w14:paraId="03125047" w14:textId="77777777" w:rsidR="006F6280" w:rsidRPr="006F6280" w:rsidRDefault="006F6280" w:rsidP="006F6280">
            <w:pPr>
              <w:pStyle w:val="ListParagraph"/>
              <w:numPr>
                <w:ilvl w:val="2"/>
                <w:numId w:val="30"/>
              </w:numPr>
              <w:autoSpaceDN w:val="0"/>
              <w:spacing w:before="0" w:line="256" w:lineRule="auto"/>
              <w:ind w:left="2376"/>
              <w:rPr>
                <w:rFonts w:ascii="Times New Roman" w:eastAsia="MS Mincho" w:hAnsi="Times New Roman"/>
                <w:lang w:eastAsia="en-US"/>
              </w:rPr>
            </w:pPr>
            <w:r w:rsidRPr="006F6280">
              <w:rPr>
                <w:rFonts w:ascii="Times New Roman" w:eastAsiaTheme="minorEastAsia" w:hAnsi="Times New Roman"/>
              </w:rPr>
              <w:t>Option 2:</w:t>
            </w:r>
            <w:r w:rsidRPr="006F6280">
              <w:rPr>
                <w:rFonts w:ascii="Times New Roman" w:hAnsi="Times New Roman"/>
              </w:rPr>
              <w:t xml:space="preserve"> No, since specific co-existence requirements can be covered by regional requirements or customer specific proprietary </w:t>
            </w:r>
            <w:proofErr w:type="gramStart"/>
            <w:r w:rsidRPr="006F6280">
              <w:rPr>
                <w:rFonts w:ascii="Times New Roman" w:hAnsi="Times New Roman"/>
              </w:rPr>
              <w:t>requirement</w:t>
            </w:r>
            <w:proofErr w:type="gramEnd"/>
            <w:r w:rsidRPr="006F6280">
              <w:rPr>
                <w:rFonts w:ascii="Times New Roman" w:hAnsi="Times New Roman"/>
              </w:rPr>
              <w:t>.</w:t>
            </w:r>
          </w:p>
          <w:p w14:paraId="709E5968" w14:textId="77777777" w:rsidR="006F6280" w:rsidRPr="006F6280" w:rsidRDefault="006F6280" w:rsidP="006F6280">
            <w:pPr>
              <w:pStyle w:val="ListParagraph"/>
              <w:numPr>
                <w:ilvl w:val="1"/>
                <w:numId w:val="30"/>
              </w:numPr>
              <w:autoSpaceDN w:val="0"/>
              <w:spacing w:before="0" w:line="256" w:lineRule="auto"/>
              <w:ind w:left="1656"/>
              <w:rPr>
                <w:rFonts w:ascii="Times New Roman" w:hAnsi="Times New Roman"/>
              </w:rPr>
            </w:pPr>
            <w:r w:rsidRPr="006F6280">
              <w:rPr>
                <w:rFonts w:ascii="Times New Roman" w:hAnsi="Times New Roman"/>
              </w:rPr>
              <w:t xml:space="preserve">How to define the additional co-existence requirements: </w:t>
            </w:r>
          </w:p>
          <w:p w14:paraId="05D8CBAB" w14:textId="77777777" w:rsidR="006F6280" w:rsidRPr="006F6280" w:rsidRDefault="006F6280" w:rsidP="006F6280">
            <w:pPr>
              <w:pStyle w:val="ListParagraph"/>
              <w:numPr>
                <w:ilvl w:val="2"/>
                <w:numId w:val="30"/>
              </w:numPr>
              <w:autoSpaceDN w:val="0"/>
              <w:spacing w:before="0" w:line="256" w:lineRule="auto"/>
              <w:ind w:left="2376"/>
              <w:rPr>
                <w:rFonts w:ascii="Times New Roman" w:hAnsi="Times New Roman"/>
              </w:rPr>
            </w:pPr>
            <w:r w:rsidRPr="006F6280">
              <w:rPr>
                <w:rFonts w:ascii="Times New Roman" w:eastAsiaTheme="minorEastAsia" w:hAnsi="Times New Roman"/>
              </w:rPr>
              <w:t xml:space="preserve">Option 1: based on </w:t>
            </w:r>
            <w:r w:rsidRPr="006F6280">
              <w:rPr>
                <w:rFonts w:ascii="Times New Roman" w:hAnsi="Times New Roman"/>
              </w:rPr>
              <w:t xml:space="preserve">CL assumption </w:t>
            </w:r>
            <w:r w:rsidRPr="006F6280">
              <w:rPr>
                <w:rFonts w:ascii="Times New Roman" w:eastAsiaTheme="minorEastAsia" w:hAnsi="Times New Roman"/>
              </w:rPr>
              <w:t>for BS2BS CLI interference</w:t>
            </w:r>
            <w:r w:rsidRPr="006F6280">
              <w:rPr>
                <w:rFonts w:ascii="Times New Roman" w:hAnsi="Times New Roman"/>
              </w:rPr>
              <w:t xml:space="preserve"> and BS DESENS level</w:t>
            </w:r>
            <w:r w:rsidRPr="006F6280">
              <w:rPr>
                <w:rFonts w:ascii="Times New Roman" w:eastAsiaTheme="minorEastAsia" w:hAnsi="Times New Roman"/>
              </w:rPr>
              <w:t>.</w:t>
            </w:r>
          </w:p>
          <w:p w14:paraId="690A2447" w14:textId="77777777" w:rsidR="006F6280" w:rsidRPr="006F6280" w:rsidRDefault="006F6280" w:rsidP="006F6280">
            <w:pPr>
              <w:pStyle w:val="ListParagraph"/>
              <w:numPr>
                <w:ilvl w:val="3"/>
                <w:numId w:val="30"/>
              </w:numPr>
              <w:autoSpaceDN w:val="0"/>
              <w:spacing w:before="0" w:line="256" w:lineRule="auto"/>
              <w:ind w:left="3096"/>
              <w:rPr>
                <w:rFonts w:ascii="Times New Roman" w:hAnsi="Times New Roman"/>
              </w:rPr>
            </w:pPr>
            <w:r w:rsidRPr="006F6280">
              <w:rPr>
                <w:rFonts w:ascii="Times New Roman" w:hAnsi="Times New Roman"/>
              </w:rPr>
              <w:t>[1dB DESENS in the victim SBFD receiver]</w:t>
            </w:r>
          </w:p>
          <w:p w14:paraId="451EAABC" w14:textId="77777777" w:rsidR="006F6280" w:rsidRPr="006F6280" w:rsidRDefault="006F6280" w:rsidP="006F6280">
            <w:pPr>
              <w:pStyle w:val="ListParagraph"/>
              <w:numPr>
                <w:ilvl w:val="3"/>
                <w:numId w:val="30"/>
              </w:numPr>
              <w:autoSpaceDN w:val="0"/>
              <w:spacing w:before="0" w:line="256" w:lineRule="auto"/>
              <w:ind w:left="3096"/>
              <w:rPr>
                <w:rFonts w:ascii="Times New Roman" w:hAnsi="Times New Roman"/>
              </w:rPr>
            </w:pPr>
            <w:r w:rsidRPr="006F6280">
              <w:rPr>
                <w:rFonts w:ascii="Times New Roman" w:eastAsiaTheme="minorEastAsia" w:hAnsi="Times New Roman"/>
              </w:rPr>
              <w:t>[</w:t>
            </w:r>
            <w:r w:rsidRPr="006F6280">
              <w:rPr>
                <w:rFonts w:ascii="Times New Roman" w:hAnsi="Times New Roman"/>
              </w:rPr>
              <w:t>typical CL values based on typical SBFD-capable gNB implementation</w:t>
            </w:r>
            <w:r w:rsidRPr="006F6280">
              <w:rPr>
                <w:rFonts w:ascii="Times New Roman" w:eastAsiaTheme="minorEastAsia" w:hAnsi="Times New Roman"/>
              </w:rPr>
              <w:t>]</w:t>
            </w:r>
          </w:p>
          <w:p w14:paraId="4488BA33" w14:textId="77777777" w:rsidR="006F6280" w:rsidRPr="006F6280" w:rsidRDefault="006F6280" w:rsidP="006F6280">
            <w:pPr>
              <w:pStyle w:val="ListParagraph"/>
              <w:numPr>
                <w:ilvl w:val="3"/>
                <w:numId w:val="30"/>
              </w:numPr>
              <w:autoSpaceDN w:val="0"/>
              <w:spacing w:before="0" w:line="256" w:lineRule="auto"/>
              <w:ind w:left="3096"/>
              <w:rPr>
                <w:rFonts w:ascii="Times New Roman" w:hAnsi="Times New Roman"/>
              </w:rPr>
            </w:pPr>
            <w:r w:rsidRPr="006F6280">
              <w:rPr>
                <w:rFonts w:ascii="Times New Roman" w:hAnsi="Times New Roman"/>
              </w:rPr>
              <w:t>[frequency offset for the additional OBUE requirement is declared]</w:t>
            </w:r>
          </w:p>
          <w:p w14:paraId="4C5C1071" w14:textId="77777777" w:rsidR="006F6280" w:rsidRPr="006F6280" w:rsidRDefault="006F6280" w:rsidP="006F6280">
            <w:pPr>
              <w:pStyle w:val="ListParagraph"/>
              <w:numPr>
                <w:ilvl w:val="2"/>
                <w:numId w:val="30"/>
              </w:numPr>
              <w:autoSpaceDN w:val="0"/>
              <w:spacing w:before="0" w:line="256" w:lineRule="auto"/>
              <w:ind w:left="2376"/>
              <w:rPr>
                <w:rFonts w:ascii="Times New Roman" w:hAnsi="Times New Roman"/>
              </w:rPr>
            </w:pPr>
            <w:r w:rsidRPr="006F6280">
              <w:rPr>
                <w:rFonts w:ascii="Times New Roman" w:eastAsiaTheme="minorEastAsia" w:hAnsi="Times New Roman"/>
              </w:rPr>
              <w:t>Option 2: by improving ACLR1 and ACLR2 requirements</w:t>
            </w:r>
          </w:p>
          <w:p w14:paraId="5B066323" w14:textId="38C37C9F" w:rsidR="00767151" w:rsidRPr="006F6280" w:rsidRDefault="006F6280" w:rsidP="006F6280">
            <w:pPr>
              <w:pStyle w:val="ListParagraph"/>
              <w:numPr>
                <w:ilvl w:val="2"/>
                <w:numId w:val="30"/>
              </w:numPr>
              <w:autoSpaceDN w:val="0"/>
              <w:spacing w:before="0" w:line="256" w:lineRule="auto"/>
              <w:ind w:left="2376"/>
              <w:rPr>
                <w:rFonts w:ascii="Times New Roman" w:eastAsiaTheme="minorEastAsia" w:hAnsi="Times New Roman"/>
              </w:rPr>
            </w:pPr>
            <w:r w:rsidRPr="006F6280">
              <w:rPr>
                <w:rFonts w:ascii="Times New Roman" w:eastAsiaTheme="minorEastAsia" w:hAnsi="Times New Roman"/>
              </w:rPr>
              <w:t>Option 3: others</w:t>
            </w:r>
          </w:p>
        </w:tc>
      </w:tr>
    </w:tbl>
    <w:p w14:paraId="5A30BD21" w14:textId="2920F7D6" w:rsidR="00516597" w:rsidRPr="00516597" w:rsidRDefault="00516597" w:rsidP="0091595A">
      <w:pPr>
        <w:jc w:val="both"/>
        <w:rPr>
          <w:b/>
          <w:bCs/>
          <w:lang w:val="en-GB"/>
        </w:rPr>
      </w:pPr>
      <w:r w:rsidRPr="00516597">
        <w:rPr>
          <w:b/>
          <w:bCs/>
          <w:lang w:val="en-GB"/>
        </w:rPr>
        <w:t xml:space="preserve"> </w:t>
      </w:r>
    </w:p>
    <w:p w14:paraId="0F81D010" w14:textId="739F207C" w:rsidR="008F1778" w:rsidRPr="00A12CCE" w:rsidRDefault="002137C2" w:rsidP="00DF5371">
      <w:pPr>
        <w:spacing w:before="120"/>
        <w:jc w:val="both"/>
        <w:rPr>
          <w:b/>
          <w:bCs/>
          <w:lang w:val="en-GB"/>
        </w:rPr>
      </w:pPr>
      <w:r>
        <w:rPr>
          <w:lang w:val="en-GB"/>
        </w:rPr>
        <w:t xml:space="preserve">In Section 11 in </w:t>
      </w:r>
      <w:r w:rsidR="00491558">
        <w:rPr>
          <w:lang w:val="en-GB"/>
        </w:rPr>
        <w:t>TR 38.858</w:t>
      </w:r>
      <w:r>
        <w:rPr>
          <w:lang w:val="en-GB"/>
        </w:rPr>
        <w:t xml:space="preserve">, RAN4 has concluded that outcome of the SBFD and legacy TDD adjacent channel coexistence. </w:t>
      </w:r>
      <w:r w:rsidR="00A227D7">
        <w:rPr>
          <w:lang w:val="en-GB"/>
        </w:rPr>
        <w:t xml:space="preserve">The SBFD-to-SBFD coexistence case was not investigated since there are no SBFD deployments </w:t>
      </w:r>
      <w:r w:rsidR="00DF5371">
        <w:rPr>
          <w:lang w:val="en-GB"/>
        </w:rPr>
        <w:t xml:space="preserve">prior to Rel-19. However, </w:t>
      </w:r>
      <w:r w:rsidR="00DF5371">
        <w:rPr>
          <w:lang w:val="en-GB"/>
        </w:rPr>
        <w:lastRenderedPageBreak/>
        <w:t>from coexistence point of view, the impact of the inter-</w:t>
      </w:r>
      <w:r w:rsidR="001143AD">
        <w:rPr>
          <w:lang w:val="en-GB"/>
        </w:rPr>
        <w:t>BS</w:t>
      </w:r>
      <w:r w:rsidR="00DF5371">
        <w:rPr>
          <w:lang w:val="en-GB"/>
        </w:rPr>
        <w:t xml:space="preserve"> CLI on the UL subband at the SBFD capable </w:t>
      </w:r>
      <w:r w:rsidR="001143AD">
        <w:rPr>
          <w:lang w:val="en-GB"/>
        </w:rPr>
        <w:t>BS</w:t>
      </w:r>
      <w:r w:rsidR="00DF5371">
        <w:rPr>
          <w:lang w:val="en-GB"/>
        </w:rPr>
        <w:t xml:space="preserve"> </w:t>
      </w:r>
      <w:r w:rsidR="00A03C8D">
        <w:rPr>
          <w:lang w:val="en-GB"/>
        </w:rPr>
        <w:t xml:space="preserve">that coexists with another SBFD </w:t>
      </w:r>
      <w:r w:rsidR="001143AD">
        <w:rPr>
          <w:lang w:val="en-GB"/>
        </w:rPr>
        <w:t>BS</w:t>
      </w:r>
      <w:r w:rsidR="00A03C8D">
        <w:rPr>
          <w:lang w:val="en-GB"/>
        </w:rPr>
        <w:t xml:space="preserve"> will be </w:t>
      </w:r>
      <w:proofErr w:type="gramStart"/>
      <w:r w:rsidR="00A03C8D">
        <w:rPr>
          <w:lang w:val="en-GB"/>
        </w:rPr>
        <w:t>similar to</w:t>
      </w:r>
      <w:proofErr w:type="gramEnd"/>
      <w:r w:rsidR="00A03C8D">
        <w:rPr>
          <w:lang w:val="en-GB"/>
        </w:rPr>
        <w:t xml:space="preserve"> the impact of the legacy TDD DL on UL subband of an SBFD-capable </w:t>
      </w:r>
      <w:r w:rsidR="001143AD">
        <w:rPr>
          <w:lang w:val="en-GB"/>
        </w:rPr>
        <w:t>BS</w:t>
      </w:r>
      <w:r w:rsidR="00A03C8D">
        <w:rPr>
          <w:lang w:val="en-GB"/>
        </w:rPr>
        <w:t xml:space="preserve">. </w:t>
      </w:r>
      <w:r w:rsidR="00250F42">
        <w:rPr>
          <w:lang w:val="en-GB"/>
        </w:rPr>
        <w:t xml:space="preserve">To </w:t>
      </w:r>
      <w:r w:rsidR="00012E5E">
        <w:rPr>
          <w:lang w:val="en-GB"/>
        </w:rPr>
        <w:t>address the inter-</w:t>
      </w:r>
      <w:r w:rsidR="001143AD">
        <w:rPr>
          <w:lang w:val="en-GB"/>
        </w:rPr>
        <w:t>BS</w:t>
      </w:r>
      <w:r w:rsidR="00012E5E">
        <w:rPr>
          <w:lang w:val="en-GB"/>
        </w:rPr>
        <w:t xml:space="preserve"> CLI, RAN4 has studied only ACIR enhancements as a solution to ensure feasible coexistence. </w:t>
      </w:r>
    </w:p>
    <w:p w14:paraId="0AFEA166" w14:textId="0413A647" w:rsidR="002137C2" w:rsidRDefault="00A12CCE" w:rsidP="0091595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other hand, </w:t>
      </w:r>
      <w:r w:rsidR="00B42584">
        <w:rPr>
          <w:rFonts w:eastAsiaTheme="minorEastAsia"/>
          <w:lang w:eastAsia="zh-CN"/>
        </w:rPr>
        <w:t>f</w:t>
      </w:r>
      <w:r w:rsidR="002137C2">
        <w:rPr>
          <w:rFonts w:eastAsiaTheme="minorEastAsia"/>
          <w:lang w:eastAsia="zh-CN"/>
        </w:rPr>
        <w:t xml:space="preserve">or the </w:t>
      </w:r>
      <w:r w:rsidR="006E4349">
        <w:rPr>
          <w:rFonts w:eastAsiaTheme="minorEastAsia"/>
          <w:lang w:eastAsia="zh-CN"/>
        </w:rPr>
        <w:t xml:space="preserve">coexistence case </w:t>
      </w:r>
      <w:r w:rsidR="002137C2">
        <w:rPr>
          <w:rFonts w:eastAsiaTheme="minorEastAsia"/>
          <w:lang w:eastAsia="zh-CN"/>
        </w:rPr>
        <w:t xml:space="preserve">with </w:t>
      </w:r>
      <w:r w:rsidR="001143AD">
        <w:rPr>
          <w:rFonts w:eastAsiaTheme="minorEastAsia"/>
          <w:lang w:eastAsia="zh-CN"/>
        </w:rPr>
        <w:t>BS</w:t>
      </w:r>
      <w:r w:rsidR="006E4349">
        <w:rPr>
          <w:rFonts w:eastAsiaTheme="minorEastAsia"/>
          <w:lang w:eastAsia="zh-CN"/>
        </w:rPr>
        <w:t xml:space="preserve">-capable </w:t>
      </w:r>
      <w:r w:rsidR="002137C2">
        <w:rPr>
          <w:rFonts w:eastAsiaTheme="minorEastAsia"/>
          <w:lang w:eastAsia="zh-CN"/>
        </w:rPr>
        <w:t xml:space="preserve">SBFD BS in the adjacent channel, RAN4 </w:t>
      </w:r>
      <w:r w:rsidR="006E4349">
        <w:rPr>
          <w:rFonts w:eastAsiaTheme="minorEastAsia"/>
          <w:lang w:eastAsia="zh-CN"/>
        </w:rPr>
        <w:t>has identified coexistence challenges due to inter-</w:t>
      </w:r>
      <w:r w:rsidR="001143AD">
        <w:rPr>
          <w:rFonts w:eastAsiaTheme="minorEastAsia"/>
          <w:lang w:eastAsia="zh-CN"/>
        </w:rPr>
        <w:t>BS</w:t>
      </w:r>
      <w:r w:rsidR="006E4349">
        <w:rPr>
          <w:rFonts w:eastAsiaTheme="minorEastAsia"/>
          <w:lang w:eastAsia="zh-CN"/>
        </w:rPr>
        <w:t xml:space="preserve"> CLI</w:t>
      </w:r>
      <w:r w:rsidR="00176A56">
        <w:rPr>
          <w:rFonts w:eastAsiaTheme="minorEastAsia"/>
          <w:lang w:eastAsia="zh-CN"/>
        </w:rPr>
        <w:t xml:space="preserve"> on the UL </w:t>
      </w:r>
      <w:proofErr w:type="spellStart"/>
      <w:r w:rsidR="00176A56">
        <w:rPr>
          <w:rFonts w:eastAsiaTheme="minorEastAsia"/>
          <w:lang w:eastAsia="zh-CN"/>
        </w:rPr>
        <w:t>subbands</w:t>
      </w:r>
      <w:proofErr w:type="spellEnd"/>
      <w:r w:rsidR="00176A56">
        <w:rPr>
          <w:rFonts w:eastAsiaTheme="minorEastAsia"/>
          <w:lang w:eastAsia="zh-CN"/>
        </w:rPr>
        <w:t xml:space="preserve">. Within the SI phase, </w:t>
      </w:r>
      <w:r w:rsidR="00ED2FC1">
        <w:rPr>
          <w:rFonts w:eastAsiaTheme="minorEastAsia"/>
          <w:lang w:eastAsia="zh-CN"/>
        </w:rPr>
        <w:t xml:space="preserve">RAN4 has considered only ACIR enhancements as a solution to ensure </w:t>
      </w:r>
      <w:r w:rsidR="00460D91">
        <w:rPr>
          <w:rFonts w:eastAsiaTheme="minorEastAsia"/>
          <w:lang w:eastAsia="zh-CN"/>
        </w:rPr>
        <w:t xml:space="preserve">feasible coexistence. </w:t>
      </w:r>
    </w:p>
    <w:p w14:paraId="55C94CAB" w14:textId="555E439A" w:rsidR="000C5F0B" w:rsidRPr="00A12CCE" w:rsidRDefault="000C5F0B" w:rsidP="0091595A">
      <w:pPr>
        <w:jc w:val="both"/>
        <w:rPr>
          <w:b/>
          <w:bCs/>
          <w:lang w:val="en-GB"/>
        </w:rPr>
      </w:pPr>
      <w:r w:rsidRPr="00A12CCE">
        <w:rPr>
          <w:b/>
          <w:bCs/>
          <w:u w:val="single"/>
          <w:lang w:val="en-GB"/>
        </w:rPr>
        <w:t xml:space="preserve">Observation </w:t>
      </w:r>
      <w:r w:rsidR="0092718D">
        <w:rPr>
          <w:b/>
          <w:bCs/>
          <w:u w:val="single"/>
          <w:lang w:val="en-GB"/>
        </w:rPr>
        <w:t>1</w:t>
      </w:r>
      <w:r w:rsidRPr="00A12CCE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When coexisting with SBFD-capable </w:t>
      </w:r>
      <w:r w:rsidR="001143AD">
        <w:rPr>
          <w:b/>
          <w:bCs/>
          <w:lang w:val="en-GB"/>
        </w:rPr>
        <w:t>BS</w:t>
      </w:r>
      <w:r>
        <w:rPr>
          <w:b/>
          <w:bCs/>
          <w:lang w:val="en-GB"/>
        </w:rPr>
        <w:t xml:space="preserve">, legacy ACLR requirement might not be sufficient to ensure feasible coexistence. Additionally, RAN4 has only considered ACIR enhancement as a possible solution during the SI phase. </w:t>
      </w:r>
    </w:p>
    <w:p w14:paraId="276CBA8F" w14:textId="0C9F0DF8" w:rsidR="002137C2" w:rsidRDefault="00B93F55" w:rsidP="0091595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a way forward, it is viable to consider urban macro deployment since it is the most challenging deployment scenario</w:t>
      </w:r>
      <w:r w:rsidR="00633573">
        <w:rPr>
          <w:rFonts w:eastAsiaTheme="minorEastAsia"/>
          <w:lang w:eastAsia="zh-CN"/>
        </w:rPr>
        <w:t xml:space="preserve">. </w:t>
      </w:r>
      <w:r w:rsidR="007354CE">
        <w:rPr>
          <w:rFonts w:eastAsiaTheme="minorEastAsia"/>
          <w:lang w:eastAsia="zh-CN"/>
        </w:rPr>
        <w:t xml:space="preserve">RAN4 then should consider a </w:t>
      </w:r>
      <w:r w:rsidR="00191713">
        <w:rPr>
          <w:rFonts w:eastAsiaTheme="minorEastAsia"/>
          <w:lang w:eastAsia="zh-CN"/>
        </w:rPr>
        <w:t xml:space="preserve">case where additional new ACLR requirement is considered to allow feasible coexistence with new SBFD-capable </w:t>
      </w:r>
      <w:r w:rsidR="001143AD">
        <w:rPr>
          <w:rFonts w:eastAsiaTheme="minorEastAsia"/>
          <w:lang w:eastAsia="zh-CN"/>
        </w:rPr>
        <w:t>BS</w:t>
      </w:r>
      <w:r w:rsidR="00CA463A">
        <w:rPr>
          <w:rFonts w:eastAsiaTheme="minorEastAsia"/>
          <w:lang w:eastAsia="zh-CN"/>
        </w:rPr>
        <w:t xml:space="preserve"> while assuming 1 dB desensitization</w:t>
      </w:r>
      <w:r w:rsidR="00191713">
        <w:rPr>
          <w:rFonts w:eastAsiaTheme="minorEastAsia"/>
          <w:lang w:eastAsia="zh-CN"/>
        </w:rPr>
        <w:t xml:space="preserve">. </w:t>
      </w:r>
    </w:p>
    <w:p w14:paraId="2B8B022A" w14:textId="3CBBFA18" w:rsidR="00DD4AB6" w:rsidRDefault="00666011" w:rsidP="0091595A">
      <w:pPr>
        <w:jc w:val="both"/>
        <w:rPr>
          <w:rFonts w:eastAsiaTheme="minorEastAsia"/>
          <w:b/>
          <w:bCs/>
          <w:lang w:eastAsia="zh-CN"/>
        </w:rPr>
      </w:pPr>
      <w:r w:rsidRPr="00666011">
        <w:rPr>
          <w:rFonts w:eastAsiaTheme="minorEastAsia"/>
          <w:b/>
          <w:bCs/>
          <w:u w:val="single"/>
          <w:lang w:eastAsia="zh-CN"/>
        </w:rPr>
        <w:t>Proposal 1</w:t>
      </w:r>
      <w:r w:rsidRPr="00666011">
        <w:rPr>
          <w:rFonts w:eastAsiaTheme="minorEastAsia"/>
          <w:b/>
          <w:bCs/>
          <w:lang w:eastAsia="zh-CN"/>
        </w:rPr>
        <w:t xml:space="preserve">: RAN4 to consider additional ACLR requirement </w:t>
      </w:r>
      <w:r w:rsidR="00A84824">
        <w:rPr>
          <w:rFonts w:eastAsiaTheme="minorEastAsia"/>
          <w:b/>
          <w:bCs/>
          <w:lang w:eastAsia="zh-CN"/>
        </w:rPr>
        <w:t xml:space="preserve">assuming 1 dB desensitization </w:t>
      </w:r>
      <w:r w:rsidRPr="00666011">
        <w:rPr>
          <w:rFonts w:eastAsiaTheme="minorEastAsia"/>
          <w:b/>
          <w:bCs/>
          <w:lang w:eastAsia="zh-CN"/>
        </w:rPr>
        <w:t xml:space="preserve">to ensure feasible coexistence with SBFD-capable gNB. As a starting point, urban macro deployments should be considered as that represent the challenging scenario. </w:t>
      </w:r>
    </w:p>
    <w:p w14:paraId="5F7E649E" w14:textId="036908E7" w:rsidR="006258BD" w:rsidRDefault="006258BD" w:rsidP="0091595A">
      <w:pPr>
        <w:jc w:val="both"/>
      </w:pPr>
      <w:r>
        <w:rPr>
          <w:rFonts w:eastAsiaTheme="minorEastAsia"/>
          <w:lang w:eastAsia="zh-CN"/>
        </w:rPr>
        <w:t xml:space="preserve">Regarding option 2, which relies on </w:t>
      </w:r>
      <w:r w:rsidRPr="006F6280">
        <w:t>proprietary</w:t>
      </w:r>
      <w:r>
        <w:t xml:space="preserve"> solutions to address the SBFD-to-SBFD coexistence</w:t>
      </w:r>
      <w:r w:rsidR="001B2602">
        <w:t xml:space="preserve">, we can accept this is a viable solution with the </w:t>
      </w:r>
      <w:r w:rsidR="00E67D1E">
        <w:t xml:space="preserve">agreement that new RF requirements for inter-subband selectivity or blocking will not be defined in RAN4 and will be based on </w:t>
      </w:r>
      <w:r w:rsidR="00E67D1E" w:rsidRPr="006F6280">
        <w:t>proprietary</w:t>
      </w:r>
      <w:r w:rsidR="00E67D1E">
        <w:t xml:space="preserve"> solution as well. </w:t>
      </w:r>
    </w:p>
    <w:p w14:paraId="33B15258" w14:textId="4042B8E7" w:rsidR="00E67D1E" w:rsidRPr="002B7483" w:rsidRDefault="007F12B8" w:rsidP="0091595A">
      <w:pPr>
        <w:jc w:val="both"/>
        <w:rPr>
          <w:rFonts w:eastAsiaTheme="minorEastAsia"/>
          <w:b/>
          <w:bCs/>
          <w:lang w:eastAsia="zh-CN"/>
        </w:rPr>
      </w:pPr>
      <w:r w:rsidRPr="002B7483">
        <w:rPr>
          <w:rFonts w:eastAsiaTheme="minorEastAsia"/>
          <w:b/>
          <w:bCs/>
          <w:u w:val="single"/>
          <w:lang w:eastAsia="zh-CN"/>
        </w:rPr>
        <w:t>Proposal 2</w:t>
      </w:r>
      <w:r w:rsidRPr="002B7483">
        <w:rPr>
          <w:rFonts w:eastAsiaTheme="minorEastAsia"/>
          <w:b/>
          <w:bCs/>
          <w:lang w:eastAsia="zh-CN"/>
        </w:rPr>
        <w:t xml:space="preserve">: If RAN4 agrees to </w:t>
      </w:r>
      <w:r w:rsidR="002B7483" w:rsidRPr="002B7483">
        <w:rPr>
          <w:rFonts w:eastAsiaTheme="minorEastAsia"/>
          <w:b/>
          <w:bCs/>
          <w:lang w:eastAsia="zh-CN"/>
        </w:rPr>
        <w:t>not define additional ACLR/OBUE requirements for SBFD-SBFD coexistence owing to proprietary solution</w:t>
      </w:r>
      <w:r w:rsidR="003768AB">
        <w:rPr>
          <w:rFonts w:eastAsiaTheme="minorEastAsia"/>
          <w:b/>
          <w:bCs/>
          <w:lang w:eastAsia="zh-CN"/>
        </w:rPr>
        <w:t>s</w:t>
      </w:r>
      <w:r w:rsidR="002B7483" w:rsidRPr="002B7483">
        <w:rPr>
          <w:rFonts w:eastAsiaTheme="minorEastAsia"/>
          <w:b/>
          <w:bCs/>
          <w:lang w:eastAsia="zh-CN"/>
        </w:rPr>
        <w:t>, then it is viable to not define new in-channel inter-subband selectivity requirements</w:t>
      </w:r>
      <w:r w:rsidR="003768AB">
        <w:rPr>
          <w:rFonts w:eastAsiaTheme="minorEastAsia"/>
          <w:b/>
          <w:bCs/>
          <w:lang w:eastAsia="zh-CN"/>
        </w:rPr>
        <w:t xml:space="preserve"> for SBFD capable gNB</w:t>
      </w:r>
    </w:p>
    <w:p w14:paraId="0CD9A5D8" w14:textId="6D73BA98" w:rsidR="00880F3A" w:rsidRDefault="00880F3A" w:rsidP="0091595A">
      <w:pPr>
        <w:jc w:val="both"/>
        <w:rPr>
          <w:rFonts w:eastAsiaTheme="minorEastAsia"/>
          <w:lang w:eastAsia="zh-CN"/>
        </w:rPr>
      </w:pPr>
      <w:r w:rsidRPr="008F4007">
        <w:rPr>
          <w:rFonts w:eastAsiaTheme="minorEastAsia"/>
          <w:lang w:eastAsia="zh-CN"/>
        </w:rPr>
        <w:t>Regarding the CL for inter-</w:t>
      </w:r>
      <w:r w:rsidR="001143AD">
        <w:rPr>
          <w:rFonts w:eastAsiaTheme="minorEastAsia"/>
          <w:lang w:eastAsia="zh-CN"/>
        </w:rPr>
        <w:t>BS</w:t>
      </w:r>
      <w:r w:rsidRPr="008F4007">
        <w:rPr>
          <w:rFonts w:eastAsiaTheme="minorEastAsia"/>
          <w:lang w:eastAsia="zh-CN"/>
        </w:rPr>
        <w:t xml:space="preserve"> CLI, it is a viable approach that RAN4 would consider </w:t>
      </w:r>
      <w:r w:rsidR="008F4007" w:rsidRPr="008F4007">
        <w:rPr>
          <w:rFonts w:eastAsiaTheme="minorEastAsia"/>
          <w:lang w:eastAsia="zh-CN"/>
        </w:rPr>
        <w:t xml:space="preserve">typical CL values based on typical implementation, leveraging the work carried out in the study item phase, specifically, the feasibility study and the adjacent channel coexistence work. </w:t>
      </w:r>
      <w:r w:rsidR="008F4007">
        <w:rPr>
          <w:rFonts w:eastAsiaTheme="minorEastAsia"/>
          <w:lang w:eastAsia="zh-CN"/>
        </w:rPr>
        <w:t xml:space="preserve">Due to the different views on the implementation capabilities and coexistence results, RAN4 should try to agree on typical values that serve as a baseline to derive the new ACLR/OBUE requirements when coexisting with new SBFD-capable gNBs. </w:t>
      </w:r>
    </w:p>
    <w:p w14:paraId="67FBECB9" w14:textId="5A58A3C1" w:rsidR="008F4007" w:rsidRPr="00237667" w:rsidRDefault="008F4007" w:rsidP="0091595A">
      <w:pPr>
        <w:jc w:val="both"/>
        <w:rPr>
          <w:b/>
          <w:bCs/>
          <w:lang w:eastAsia="zh-CN"/>
        </w:rPr>
      </w:pPr>
      <w:r w:rsidRPr="00237667">
        <w:rPr>
          <w:rFonts w:eastAsiaTheme="minorEastAsia"/>
          <w:b/>
          <w:bCs/>
          <w:u w:val="single"/>
          <w:lang w:eastAsia="zh-CN"/>
        </w:rPr>
        <w:t xml:space="preserve">Proposal </w:t>
      </w:r>
      <w:r w:rsidR="0092718D">
        <w:rPr>
          <w:rFonts w:eastAsiaTheme="minorEastAsia"/>
          <w:b/>
          <w:bCs/>
          <w:u w:val="single"/>
          <w:lang w:eastAsia="zh-CN"/>
        </w:rPr>
        <w:t>3</w:t>
      </w:r>
      <w:r w:rsidRPr="00237667">
        <w:rPr>
          <w:rFonts w:eastAsiaTheme="minorEastAsia"/>
          <w:b/>
          <w:bCs/>
          <w:lang w:eastAsia="zh-CN"/>
        </w:rPr>
        <w:t>: Regarding CL for inter-</w:t>
      </w:r>
      <w:r w:rsidR="001143AD">
        <w:rPr>
          <w:rFonts w:eastAsiaTheme="minorEastAsia"/>
          <w:b/>
          <w:bCs/>
          <w:lang w:eastAsia="zh-CN"/>
        </w:rPr>
        <w:t>BS</w:t>
      </w:r>
      <w:r w:rsidRPr="00237667">
        <w:rPr>
          <w:rFonts w:eastAsiaTheme="minorEastAsia"/>
          <w:b/>
          <w:bCs/>
          <w:lang w:eastAsia="zh-CN"/>
        </w:rPr>
        <w:t xml:space="preserve"> CLI, RAN4 to adopt typical CL values based on typical</w:t>
      </w:r>
      <w:r w:rsidR="00237667" w:rsidRPr="00237667">
        <w:rPr>
          <w:rFonts w:eastAsiaTheme="minorEastAsia"/>
          <w:b/>
          <w:bCs/>
          <w:lang w:eastAsia="zh-CN"/>
        </w:rPr>
        <w:t xml:space="preserve"> SBFD-capable </w:t>
      </w:r>
      <w:r w:rsidR="001143AD">
        <w:rPr>
          <w:rFonts w:eastAsiaTheme="minorEastAsia"/>
          <w:b/>
          <w:bCs/>
          <w:lang w:eastAsia="zh-CN"/>
        </w:rPr>
        <w:t>BS</w:t>
      </w:r>
      <w:r w:rsidRPr="00237667">
        <w:rPr>
          <w:rFonts w:eastAsiaTheme="minorEastAsia"/>
          <w:b/>
          <w:bCs/>
          <w:lang w:eastAsia="zh-CN"/>
        </w:rPr>
        <w:t xml:space="preserve"> implementation</w:t>
      </w:r>
      <w:r w:rsidR="00237667" w:rsidRPr="00237667">
        <w:rPr>
          <w:rFonts w:eastAsiaTheme="minorEastAsia"/>
          <w:b/>
          <w:bCs/>
          <w:lang w:eastAsia="zh-CN"/>
        </w:rPr>
        <w:t xml:space="preserve">. 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2669ACB9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CE7110">
        <w:t xml:space="preserve">BS RF requirements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27984BCB" w14:textId="77777777" w:rsidR="0092718D" w:rsidRDefault="0092718D" w:rsidP="0092718D">
      <w:pPr>
        <w:jc w:val="both"/>
        <w:rPr>
          <w:b/>
          <w:bCs/>
          <w:lang w:val="en-GB"/>
        </w:rPr>
      </w:pPr>
      <w:r w:rsidRPr="00A12CCE">
        <w:rPr>
          <w:b/>
          <w:bCs/>
          <w:u w:val="single"/>
          <w:lang w:val="en-GB"/>
        </w:rPr>
        <w:t xml:space="preserve">Observation </w:t>
      </w:r>
      <w:r>
        <w:rPr>
          <w:b/>
          <w:bCs/>
          <w:u w:val="single"/>
          <w:lang w:val="en-GB"/>
        </w:rPr>
        <w:t>1</w:t>
      </w:r>
      <w:r w:rsidRPr="00A12CCE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When coexisting with SBFD-capable BS, legacy ACLR requirement might not be sufficient to ensure feasible coexistence. Additionally, RAN4 has only considered ACIR enhancement as a possible solution during the SI phase. </w:t>
      </w:r>
    </w:p>
    <w:p w14:paraId="441432B4" w14:textId="77777777" w:rsidR="0092718D" w:rsidRDefault="0092718D" w:rsidP="0092718D">
      <w:pPr>
        <w:jc w:val="both"/>
        <w:rPr>
          <w:rFonts w:eastAsiaTheme="minorEastAsia"/>
          <w:b/>
          <w:bCs/>
          <w:lang w:eastAsia="zh-CN"/>
        </w:rPr>
      </w:pPr>
      <w:r w:rsidRPr="00666011">
        <w:rPr>
          <w:rFonts w:eastAsiaTheme="minorEastAsia"/>
          <w:b/>
          <w:bCs/>
          <w:u w:val="single"/>
          <w:lang w:eastAsia="zh-CN"/>
        </w:rPr>
        <w:t>Proposal 1</w:t>
      </w:r>
      <w:r w:rsidRPr="00666011">
        <w:rPr>
          <w:rFonts w:eastAsiaTheme="minorEastAsia"/>
          <w:b/>
          <w:bCs/>
          <w:lang w:eastAsia="zh-CN"/>
        </w:rPr>
        <w:t xml:space="preserve">: RAN4 to consider additional ACLR requirement </w:t>
      </w:r>
      <w:r>
        <w:rPr>
          <w:rFonts w:eastAsiaTheme="minorEastAsia"/>
          <w:b/>
          <w:bCs/>
          <w:lang w:eastAsia="zh-CN"/>
        </w:rPr>
        <w:t xml:space="preserve">assuming 1 dB desensitization </w:t>
      </w:r>
      <w:r w:rsidRPr="00666011">
        <w:rPr>
          <w:rFonts w:eastAsiaTheme="minorEastAsia"/>
          <w:b/>
          <w:bCs/>
          <w:lang w:eastAsia="zh-CN"/>
        </w:rPr>
        <w:t xml:space="preserve">to ensure feasible coexistence with SBFD-capable gNB. As a starting point, urban macro deployments should be considered as that represent the challenging scenario. </w:t>
      </w:r>
    </w:p>
    <w:p w14:paraId="670EF050" w14:textId="77777777" w:rsidR="0092718D" w:rsidRPr="002B7483" w:rsidRDefault="0092718D" w:rsidP="0092718D">
      <w:pPr>
        <w:jc w:val="both"/>
        <w:rPr>
          <w:rFonts w:eastAsiaTheme="minorEastAsia"/>
          <w:b/>
          <w:bCs/>
          <w:lang w:eastAsia="zh-CN"/>
        </w:rPr>
      </w:pPr>
      <w:r w:rsidRPr="002B7483">
        <w:rPr>
          <w:rFonts w:eastAsiaTheme="minorEastAsia"/>
          <w:b/>
          <w:bCs/>
          <w:u w:val="single"/>
          <w:lang w:eastAsia="zh-CN"/>
        </w:rPr>
        <w:t>Proposal 2</w:t>
      </w:r>
      <w:r w:rsidRPr="002B7483">
        <w:rPr>
          <w:rFonts w:eastAsiaTheme="minorEastAsia"/>
          <w:b/>
          <w:bCs/>
          <w:lang w:eastAsia="zh-CN"/>
        </w:rPr>
        <w:t>: If RAN4 agrees to not define additional ACLR/OBUE requirements for SBFD-SBFD coexistence owing to proprietary solution</w:t>
      </w:r>
      <w:r>
        <w:rPr>
          <w:rFonts w:eastAsiaTheme="minorEastAsia"/>
          <w:b/>
          <w:bCs/>
          <w:lang w:eastAsia="zh-CN"/>
        </w:rPr>
        <w:t>s</w:t>
      </w:r>
      <w:r w:rsidRPr="002B7483">
        <w:rPr>
          <w:rFonts w:eastAsiaTheme="minorEastAsia"/>
          <w:b/>
          <w:bCs/>
          <w:lang w:eastAsia="zh-CN"/>
        </w:rPr>
        <w:t>, then it is viable to not define new in-channel inter-subband selectivity requirements</w:t>
      </w:r>
      <w:r>
        <w:rPr>
          <w:rFonts w:eastAsiaTheme="minorEastAsia"/>
          <w:b/>
          <w:bCs/>
          <w:lang w:eastAsia="zh-CN"/>
        </w:rPr>
        <w:t xml:space="preserve"> for SBFD capable gNB</w:t>
      </w:r>
    </w:p>
    <w:p w14:paraId="12222C8F" w14:textId="22221781" w:rsidR="0092718D" w:rsidRPr="00727DC9" w:rsidRDefault="0092718D" w:rsidP="0092718D">
      <w:pPr>
        <w:jc w:val="both"/>
        <w:rPr>
          <w:b/>
          <w:bCs/>
          <w:lang w:eastAsia="zh-CN"/>
        </w:rPr>
      </w:pPr>
      <w:r w:rsidRPr="00237667">
        <w:rPr>
          <w:rFonts w:eastAsiaTheme="minorEastAsia"/>
          <w:b/>
          <w:bCs/>
          <w:u w:val="single"/>
          <w:lang w:eastAsia="zh-CN"/>
        </w:rPr>
        <w:t xml:space="preserve">Proposal </w:t>
      </w:r>
      <w:r>
        <w:rPr>
          <w:rFonts w:eastAsiaTheme="minorEastAsia"/>
          <w:b/>
          <w:bCs/>
          <w:u w:val="single"/>
          <w:lang w:eastAsia="zh-CN"/>
        </w:rPr>
        <w:t>3</w:t>
      </w:r>
      <w:r w:rsidRPr="00237667">
        <w:rPr>
          <w:rFonts w:eastAsiaTheme="minorEastAsia"/>
          <w:b/>
          <w:bCs/>
          <w:lang w:eastAsia="zh-CN"/>
        </w:rPr>
        <w:t>: Regarding CL for inter-</w:t>
      </w:r>
      <w:r>
        <w:rPr>
          <w:rFonts w:eastAsiaTheme="minorEastAsia"/>
          <w:b/>
          <w:bCs/>
          <w:lang w:eastAsia="zh-CN"/>
        </w:rPr>
        <w:t>BS</w:t>
      </w:r>
      <w:r w:rsidRPr="00237667">
        <w:rPr>
          <w:rFonts w:eastAsiaTheme="minorEastAsia"/>
          <w:b/>
          <w:bCs/>
          <w:lang w:eastAsia="zh-CN"/>
        </w:rPr>
        <w:t xml:space="preserve"> CLI, RAN4 to adopt typical CL values based on typical SBFD-capable </w:t>
      </w:r>
      <w:r>
        <w:rPr>
          <w:rFonts w:eastAsiaTheme="minorEastAsia"/>
          <w:b/>
          <w:bCs/>
          <w:lang w:eastAsia="zh-CN"/>
        </w:rPr>
        <w:t>BS</w:t>
      </w:r>
      <w:r w:rsidRPr="00237667">
        <w:rPr>
          <w:rFonts w:eastAsiaTheme="minorEastAsia"/>
          <w:b/>
          <w:bCs/>
          <w:lang w:eastAsia="zh-CN"/>
        </w:rPr>
        <w:t xml:space="preserve"> implementation. 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lastRenderedPageBreak/>
        <w:t>References</w:t>
      </w:r>
    </w:p>
    <w:p w14:paraId="20F7CEBE" w14:textId="77777777" w:rsidR="001737E0" w:rsidRDefault="001737E0" w:rsidP="001737E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5" w:name="_Ref47616084"/>
      <w:bookmarkStart w:id="6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 xml:space="preserve">Huawei, </w:t>
      </w:r>
      <w:proofErr w:type="spellStart"/>
      <w:r>
        <w:rPr>
          <w:szCs w:val="20"/>
          <w:lang w:val="en-GB"/>
        </w:rPr>
        <w:t>HiSilicon</w:t>
      </w:r>
      <w:proofErr w:type="spellEnd"/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5"/>
    </w:p>
    <w:p w14:paraId="5DC3233E" w14:textId="2CAF8BF4" w:rsidR="001737E0" w:rsidRDefault="006C6E79" w:rsidP="001737E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6C6E79">
        <w:rPr>
          <w:szCs w:val="20"/>
          <w:lang w:val="en-GB"/>
        </w:rPr>
        <w:t>R4-2416585</w:t>
      </w:r>
      <w:r w:rsidR="001737E0" w:rsidRPr="00A37CEF">
        <w:rPr>
          <w:szCs w:val="20"/>
          <w:lang w:val="en-GB"/>
        </w:rPr>
        <w:t>, “</w:t>
      </w:r>
      <w:r w:rsidR="001737E0" w:rsidRPr="00F10AFF">
        <w:rPr>
          <w:szCs w:val="20"/>
          <w:lang w:val="en-GB"/>
        </w:rPr>
        <w:t>Way Forward for [112][30</w:t>
      </w:r>
      <w:r w:rsidR="001D510D">
        <w:rPr>
          <w:szCs w:val="20"/>
          <w:lang w:val="en-GB"/>
        </w:rPr>
        <w:t>8</w:t>
      </w:r>
      <w:r w:rsidR="001737E0" w:rsidRPr="00F10AFF">
        <w:rPr>
          <w:szCs w:val="20"/>
          <w:lang w:val="en-GB"/>
        </w:rPr>
        <w:t xml:space="preserve">] </w:t>
      </w:r>
      <w:proofErr w:type="spellStart"/>
      <w:r w:rsidR="001737E0" w:rsidRPr="00F10AFF">
        <w:rPr>
          <w:szCs w:val="20"/>
          <w:lang w:val="en-GB"/>
        </w:rPr>
        <w:t>NR_duplex_evo_General</w:t>
      </w:r>
      <w:proofErr w:type="spellEnd"/>
      <w:r w:rsidR="001737E0" w:rsidRPr="00A37CEF">
        <w:rPr>
          <w:szCs w:val="20"/>
          <w:lang w:val="en-GB"/>
        </w:rPr>
        <w:t xml:space="preserve">”, </w:t>
      </w:r>
      <w:r w:rsidR="001737E0">
        <w:rPr>
          <w:szCs w:val="20"/>
          <w:lang w:val="en-GB"/>
        </w:rPr>
        <w:t>RAN4#112</w:t>
      </w:r>
      <w:r>
        <w:rPr>
          <w:szCs w:val="20"/>
          <w:lang w:val="en-GB"/>
        </w:rPr>
        <w:t>bis</w:t>
      </w:r>
      <w:r w:rsidR="001737E0">
        <w:rPr>
          <w:szCs w:val="20"/>
          <w:lang w:val="en-GB"/>
        </w:rPr>
        <w:t xml:space="preserve">, </w:t>
      </w:r>
      <w:r w:rsidR="00D97ABE">
        <w:rPr>
          <w:szCs w:val="20"/>
          <w:lang w:val="en-GB"/>
        </w:rPr>
        <w:t xml:space="preserve">Huawei, </w:t>
      </w:r>
      <w:proofErr w:type="spellStart"/>
      <w:r w:rsidR="00D97ABE">
        <w:rPr>
          <w:szCs w:val="20"/>
          <w:lang w:val="en-GB"/>
        </w:rPr>
        <w:t>HiSilicon</w:t>
      </w:r>
      <w:proofErr w:type="spellEnd"/>
      <w:r w:rsidR="001737E0" w:rsidRPr="00A37CEF">
        <w:rPr>
          <w:szCs w:val="20"/>
          <w:lang w:val="en-GB"/>
        </w:rPr>
        <w:t xml:space="preserve">. </w:t>
      </w:r>
    </w:p>
    <w:bookmarkEnd w:id="6"/>
    <w:p w14:paraId="7547DE2D" w14:textId="77777777" w:rsidR="00A37CEF" w:rsidRDefault="00A37CEF" w:rsidP="002A0877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31E0B" w14:textId="77777777" w:rsidR="00D072C6" w:rsidRDefault="00D072C6">
      <w:pPr>
        <w:spacing w:after="0"/>
      </w:pPr>
      <w:r>
        <w:separator/>
      </w:r>
    </w:p>
  </w:endnote>
  <w:endnote w:type="continuationSeparator" w:id="0">
    <w:p w14:paraId="293ECD6F" w14:textId="77777777" w:rsidR="00D072C6" w:rsidRDefault="00D072C6">
      <w:pPr>
        <w:spacing w:after="0"/>
      </w:pPr>
      <w:r>
        <w:continuationSeparator/>
      </w:r>
    </w:p>
  </w:endnote>
  <w:endnote w:type="continuationNotice" w:id="1">
    <w:p w14:paraId="032D53BC" w14:textId="77777777" w:rsidR="00D072C6" w:rsidRDefault="00D07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B9B7E" w14:textId="77777777" w:rsidR="00D072C6" w:rsidRDefault="00D072C6">
      <w:pPr>
        <w:spacing w:after="0"/>
      </w:pPr>
      <w:r>
        <w:separator/>
      </w:r>
    </w:p>
  </w:footnote>
  <w:footnote w:type="continuationSeparator" w:id="0">
    <w:p w14:paraId="30D1943E" w14:textId="77777777" w:rsidR="00D072C6" w:rsidRDefault="00D072C6">
      <w:pPr>
        <w:spacing w:after="0"/>
      </w:pPr>
      <w:r>
        <w:continuationSeparator/>
      </w:r>
    </w:p>
  </w:footnote>
  <w:footnote w:type="continuationNotice" w:id="1">
    <w:p w14:paraId="373ABEDA" w14:textId="77777777" w:rsidR="00D072C6" w:rsidRDefault="00D072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64725"/>
    <w:multiLevelType w:val="hybridMultilevel"/>
    <w:tmpl w:val="1EBE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3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276178333">
    <w:abstractNumId w:val="0"/>
  </w:num>
  <w:num w:numId="3" w16cid:durableId="741606055">
    <w:abstractNumId w:val="3"/>
  </w:num>
  <w:num w:numId="4" w16cid:durableId="1935287387">
    <w:abstractNumId w:val="17"/>
  </w:num>
  <w:num w:numId="5" w16cid:durableId="1753619575">
    <w:abstractNumId w:val="23"/>
  </w:num>
  <w:num w:numId="6" w16cid:durableId="528227147">
    <w:abstractNumId w:val="7"/>
  </w:num>
  <w:num w:numId="7" w16cid:durableId="1151141409">
    <w:abstractNumId w:val="25"/>
  </w:num>
  <w:num w:numId="8" w16cid:durableId="1326208731">
    <w:abstractNumId w:val="22"/>
  </w:num>
  <w:num w:numId="9" w16cid:durableId="2096242991">
    <w:abstractNumId w:val="19"/>
  </w:num>
  <w:num w:numId="10" w16cid:durableId="964656557">
    <w:abstractNumId w:val="24"/>
  </w:num>
  <w:num w:numId="11" w16cid:durableId="724842134">
    <w:abstractNumId w:val="6"/>
  </w:num>
  <w:num w:numId="12" w16cid:durableId="1263489318">
    <w:abstractNumId w:val="32"/>
  </w:num>
  <w:num w:numId="13" w16cid:durableId="1656177574">
    <w:abstractNumId w:val="5"/>
  </w:num>
  <w:num w:numId="14" w16cid:durableId="1351568597">
    <w:abstractNumId w:val="2"/>
  </w:num>
  <w:num w:numId="15" w16cid:durableId="197086569">
    <w:abstractNumId w:val="8"/>
  </w:num>
  <w:num w:numId="16" w16cid:durableId="1700426356">
    <w:abstractNumId w:val="9"/>
  </w:num>
  <w:num w:numId="17" w16cid:durableId="517815193">
    <w:abstractNumId w:val="10"/>
  </w:num>
  <w:num w:numId="18" w16cid:durableId="1275752242">
    <w:abstractNumId w:val="21"/>
  </w:num>
  <w:num w:numId="19" w16cid:durableId="1417093260">
    <w:abstractNumId w:val="16"/>
  </w:num>
  <w:num w:numId="20" w16cid:durableId="925773427">
    <w:abstractNumId w:val="30"/>
  </w:num>
  <w:num w:numId="21" w16cid:durableId="306326423">
    <w:abstractNumId w:val="4"/>
  </w:num>
  <w:num w:numId="22" w16cid:durableId="1262372539">
    <w:abstractNumId w:val="15"/>
  </w:num>
  <w:num w:numId="23" w16cid:durableId="634524535">
    <w:abstractNumId w:val="14"/>
  </w:num>
  <w:num w:numId="24" w16cid:durableId="1509710620">
    <w:abstractNumId w:val="29"/>
  </w:num>
  <w:num w:numId="25" w16cid:durableId="475488186">
    <w:abstractNumId w:val="27"/>
  </w:num>
  <w:num w:numId="26" w16cid:durableId="577984225">
    <w:abstractNumId w:val="20"/>
  </w:num>
  <w:num w:numId="27" w16cid:durableId="236524678">
    <w:abstractNumId w:val="31"/>
  </w:num>
  <w:num w:numId="28" w16cid:durableId="1915163336">
    <w:abstractNumId w:val="12"/>
  </w:num>
  <w:num w:numId="29" w16cid:durableId="1180585837">
    <w:abstractNumId w:val="13"/>
  </w:num>
  <w:num w:numId="30" w16cid:durableId="130952112">
    <w:abstractNumId w:val="26"/>
  </w:num>
  <w:num w:numId="31" w16cid:durableId="1276710328">
    <w:abstractNumId w:val="1"/>
  </w:num>
  <w:num w:numId="32" w16cid:durableId="837580447">
    <w:abstractNumId w:val="33"/>
  </w:num>
  <w:num w:numId="33" w16cid:durableId="1889873422">
    <w:abstractNumId w:val="28"/>
  </w:num>
  <w:num w:numId="34" w16cid:durableId="18301675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12E5E"/>
    <w:rsid w:val="00040198"/>
    <w:rsid w:val="00042F87"/>
    <w:rsid w:val="000522DE"/>
    <w:rsid w:val="00071946"/>
    <w:rsid w:val="0007385C"/>
    <w:rsid w:val="00080CD0"/>
    <w:rsid w:val="0008520B"/>
    <w:rsid w:val="00097DDE"/>
    <w:rsid w:val="000B045F"/>
    <w:rsid w:val="000C5F0B"/>
    <w:rsid w:val="000E1A1B"/>
    <w:rsid w:val="00101864"/>
    <w:rsid w:val="00110C08"/>
    <w:rsid w:val="001143AD"/>
    <w:rsid w:val="00125EDD"/>
    <w:rsid w:val="00127E88"/>
    <w:rsid w:val="00146ED2"/>
    <w:rsid w:val="0014783E"/>
    <w:rsid w:val="00154124"/>
    <w:rsid w:val="001663D5"/>
    <w:rsid w:val="001737E0"/>
    <w:rsid w:val="00174A48"/>
    <w:rsid w:val="0017600B"/>
    <w:rsid w:val="00176A56"/>
    <w:rsid w:val="00183792"/>
    <w:rsid w:val="001841B1"/>
    <w:rsid w:val="00191713"/>
    <w:rsid w:val="001B2602"/>
    <w:rsid w:val="001C19F4"/>
    <w:rsid w:val="001C76D4"/>
    <w:rsid w:val="001D510D"/>
    <w:rsid w:val="001D54E0"/>
    <w:rsid w:val="001F7C18"/>
    <w:rsid w:val="0020337F"/>
    <w:rsid w:val="00205B4B"/>
    <w:rsid w:val="002137C2"/>
    <w:rsid w:val="00214068"/>
    <w:rsid w:val="00226BAA"/>
    <w:rsid w:val="00227A45"/>
    <w:rsid w:val="0023172D"/>
    <w:rsid w:val="00237667"/>
    <w:rsid w:val="002415E8"/>
    <w:rsid w:val="00250F42"/>
    <w:rsid w:val="00253E95"/>
    <w:rsid w:val="002559EB"/>
    <w:rsid w:val="002661E3"/>
    <w:rsid w:val="00271968"/>
    <w:rsid w:val="00275C28"/>
    <w:rsid w:val="00285987"/>
    <w:rsid w:val="002904E7"/>
    <w:rsid w:val="002957BF"/>
    <w:rsid w:val="002A0877"/>
    <w:rsid w:val="002A48E5"/>
    <w:rsid w:val="002B37C9"/>
    <w:rsid w:val="002B7483"/>
    <w:rsid w:val="002B7864"/>
    <w:rsid w:val="002D6C8C"/>
    <w:rsid w:val="002E21FA"/>
    <w:rsid w:val="002E379C"/>
    <w:rsid w:val="002E68AC"/>
    <w:rsid w:val="002E7C21"/>
    <w:rsid w:val="002F3C21"/>
    <w:rsid w:val="00301325"/>
    <w:rsid w:val="00302B97"/>
    <w:rsid w:val="0030660F"/>
    <w:rsid w:val="0032021E"/>
    <w:rsid w:val="003228A6"/>
    <w:rsid w:val="00323D8C"/>
    <w:rsid w:val="00370B59"/>
    <w:rsid w:val="00372ECA"/>
    <w:rsid w:val="003768AB"/>
    <w:rsid w:val="0039127D"/>
    <w:rsid w:val="003A141C"/>
    <w:rsid w:val="003A66A2"/>
    <w:rsid w:val="003B0C33"/>
    <w:rsid w:val="003B1FFF"/>
    <w:rsid w:val="003B2015"/>
    <w:rsid w:val="003B2119"/>
    <w:rsid w:val="003C7439"/>
    <w:rsid w:val="003E2F06"/>
    <w:rsid w:val="00401DF9"/>
    <w:rsid w:val="00417AEB"/>
    <w:rsid w:val="004207BE"/>
    <w:rsid w:val="00421E71"/>
    <w:rsid w:val="00422733"/>
    <w:rsid w:val="00422C13"/>
    <w:rsid w:val="00447550"/>
    <w:rsid w:val="004563FB"/>
    <w:rsid w:val="00460441"/>
    <w:rsid w:val="00460D91"/>
    <w:rsid w:val="00476B9C"/>
    <w:rsid w:val="004861C1"/>
    <w:rsid w:val="0048722C"/>
    <w:rsid w:val="00491558"/>
    <w:rsid w:val="004945D2"/>
    <w:rsid w:val="004A56D0"/>
    <w:rsid w:val="004A5F79"/>
    <w:rsid w:val="004A7EA2"/>
    <w:rsid w:val="004C1401"/>
    <w:rsid w:val="004D0585"/>
    <w:rsid w:val="00511429"/>
    <w:rsid w:val="00515DF6"/>
    <w:rsid w:val="00516597"/>
    <w:rsid w:val="00516DAF"/>
    <w:rsid w:val="00523634"/>
    <w:rsid w:val="0052648A"/>
    <w:rsid w:val="00540B8E"/>
    <w:rsid w:val="00543697"/>
    <w:rsid w:val="00543C13"/>
    <w:rsid w:val="00556880"/>
    <w:rsid w:val="00560D4B"/>
    <w:rsid w:val="00582C3B"/>
    <w:rsid w:val="00586E75"/>
    <w:rsid w:val="00593642"/>
    <w:rsid w:val="005C6CB9"/>
    <w:rsid w:val="005D66C2"/>
    <w:rsid w:val="005F730B"/>
    <w:rsid w:val="006107E7"/>
    <w:rsid w:val="006258BD"/>
    <w:rsid w:val="00633543"/>
    <w:rsid w:val="00633573"/>
    <w:rsid w:val="0064631E"/>
    <w:rsid w:val="006565AF"/>
    <w:rsid w:val="0066354C"/>
    <w:rsid w:val="00664464"/>
    <w:rsid w:val="00666011"/>
    <w:rsid w:val="00667B84"/>
    <w:rsid w:val="006738CE"/>
    <w:rsid w:val="006818F8"/>
    <w:rsid w:val="00690ED5"/>
    <w:rsid w:val="00692032"/>
    <w:rsid w:val="006A7447"/>
    <w:rsid w:val="006B0E0F"/>
    <w:rsid w:val="006B2638"/>
    <w:rsid w:val="006C6E79"/>
    <w:rsid w:val="006D2AFF"/>
    <w:rsid w:val="006D63F7"/>
    <w:rsid w:val="006E0AE9"/>
    <w:rsid w:val="006E4349"/>
    <w:rsid w:val="006F6280"/>
    <w:rsid w:val="006F730F"/>
    <w:rsid w:val="007008E2"/>
    <w:rsid w:val="007018D8"/>
    <w:rsid w:val="00705014"/>
    <w:rsid w:val="0070632C"/>
    <w:rsid w:val="007117DD"/>
    <w:rsid w:val="0072106E"/>
    <w:rsid w:val="00727DC9"/>
    <w:rsid w:val="007354CE"/>
    <w:rsid w:val="007450D2"/>
    <w:rsid w:val="00752961"/>
    <w:rsid w:val="00753211"/>
    <w:rsid w:val="0075682C"/>
    <w:rsid w:val="007621D1"/>
    <w:rsid w:val="007653BB"/>
    <w:rsid w:val="00767151"/>
    <w:rsid w:val="00771053"/>
    <w:rsid w:val="00773780"/>
    <w:rsid w:val="00780BBC"/>
    <w:rsid w:val="007901C7"/>
    <w:rsid w:val="007905B1"/>
    <w:rsid w:val="007C432C"/>
    <w:rsid w:val="007E3189"/>
    <w:rsid w:val="007E49C0"/>
    <w:rsid w:val="007F12B8"/>
    <w:rsid w:val="007F13E3"/>
    <w:rsid w:val="00801478"/>
    <w:rsid w:val="008019AF"/>
    <w:rsid w:val="008032A6"/>
    <w:rsid w:val="00816D3E"/>
    <w:rsid w:val="00821175"/>
    <w:rsid w:val="0082235C"/>
    <w:rsid w:val="00825F5E"/>
    <w:rsid w:val="00827913"/>
    <w:rsid w:val="00880F3A"/>
    <w:rsid w:val="00890214"/>
    <w:rsid w:val="0089771A"/>
    <w:rsid w:val="008B00FC"/>
    <w:rsid w:val="008D6DE6"/>
    <w:rsid w:val="008F1778"/>
    <w:rsid w:val="008F4007"/>
    <w:rsid w:val="009015C8"/>
    <w:rsid w:val="00901F73"/>
    <w:rsid w:val="00904E4C"/>
    <w:rsid w:val="0090669B"/>
    <w:rsid w:val="009152FC"/>
    <w:rsid w:val="0091595A"/>
    <w:rsid w:val="009169F8"/>
    <w:rsid w:val="009214B4"/>
    <w:rsid w:val="00925A3A"/>
    <w:rsid w:val="0092718D"/>
    <w:rsid w:val="0093198E"/>
    <w:rsid w:val="00946833"/>
    <w:rsid w:val="009534D5"/>
    <w:rsid w:val="00975340"/>
    <w:rsid w:val="009C07A6"/>
    <w:rsid w:val="009C497B"/>
    <w:rsid w:val="009D7F66"/>
    <w:rsid w:val="009E5680"/>
    <w:rsid w:val="009F0F3F"/>
    <w:rsid w:val="009F1412"/>
    <w:rsid w:val="00A03C8D"/>
    <w:rsid w:val="00A12CCE"/>
    <w:rsid w:val="00A227D7"/>
    <w:rsid w:val="00A22A4B"/>
    <w:rsid w:val="00A25A5D"/>
    <w:rsid w:val="00A333A3"/>
    <w:rsid w:val="00A37CEF"/>
    <w:rsid w:val="00A5423E"/>
    <w:rsid w:val="00A60640"/>
    <w:rsid w:val="00A6386A"/>
    <w:rsid w:val="00A76A89"/>
    <w:rsid w:val="00A7799D"/>
    <w:rsid w:val="00A84824"/>
    <w:rsid w:val="00A87452"/>
    <w:rsid w:val="00A951B5"/>
    <w:rsid w:val="00A96DB3"/>
    <w:rsid w:val="00AA5EF7"/>
    <w:rsid w:val="00AA6AEB"/>
    <w:rsid w:val="00AA6CCC"/>
    <w:rsid w:val="00AC576F"/>
    <w:rsid w:val="00AC60A4"/>
    <w:rsid w:val="00AC7ACA"/>
    <w:rsid w:val="00AD546F"/>
    <w:rsid w:val="00AD55E4"/>
    <w:rsid w:val="00AF207B"/>
    <w:rsid w:val="00AF2ADB"/>
    <w:rsid w:val="00AF54AA"/>
    <w:rsid w:val="00AF6269"/>
    <w:rsid w:val="00B22D42"/>
    <w:rsid w:val="00B336E2"/>
    <w:rsid w:val="00B35350"/>
    <w:rsid w:val="00B42584"/>
    <w:rsid w:val="00B42B77"/>
    <w:rsid w:val="00B4571C"/>
    <w:rsid w:val="00B52C0B"/>
    <w:rsid w:val="00B54521"/>
    <w:rsid w:val="00B6421A"/>
    <w:rsid w:val="00B671A2"/>
    <w:rsid w:val="00B8218A"/>
    <w:rsid w:val="00B93BC9"/>
    <w:rsid w:val="00B93F55"/>
    <w:rsid w:val="00BC19E0"/>
    <w:rsid w:val="00BC26B2"/>
    <w:rsid w:val="00BF05C4"/>
    <w:rsid w:val="00C10E25"/>
    <w:rsid w:val="00C20293"/>
    <w:rsid w:val="00C22FEE"/>
    <w:rsid w:val="00C42092"/>
    <w:rsid w:val="00C454CD"/>
    <w:rsid w:val="00C476F7"/>
    <w:rsid w:val="00C55129"/>
    <w:rsid w:val="00C65259"/>
    <w:rsid w:val="00C77999"/>
    <w:rsid w:val="00CA463A"/>
    <w:rsid w:val="00CC3ED4"/>
    <w:rsid w:val="00CC5B9A"/>
    <w:rsid w:val="00CE5C29"/>
    <w:rsid w:val="00CE7110"/>
    <w:rsid w:val="00CF325A"/>
    <w:rsid w:val="00CF3E04"/>
    <w:rsid w:val="00CF4976"/>
    <w:rsid w:val="00CF75D3"/>
    <w:rsid w:val="00D072C6"/>
    <w:rsid w:val="00D10AD0"/>
    <w:rsid w:val="00D15EE0"/>
    <w:rsid w:val="00D2004A"/>
    <w:rsid w:val="00D25E76"/>
    <w:rsid w:val="00D3736F"/>
    <w:rsid w:val="00D60509"/>
    <w:rsid w:val="00D97ABE"/>
    <w:rsid w:val="00DA31C3"/>
    <w:rsid w:val="00DB3FEB"/>
    <w:rsid w:val="00DC004D"/>
    <w:rsid w:val="00DD4AB6"/>
    <w:rsid w:val="00DF5371"/>
    <w:rsid w:val="00E010D1"/>
    <w:rsid w:val="00E02445"/>
    <w:rsid w:val="00E0451E"/>
    <w:rsid w:val="00E1074C"/>
    <w:rsid w:val="00E210C6"/>
    <w:rsid w:val="00E242F2"/>
    <w:rsid w:val="00E307AE"/>
    <w:rsid w:val="00E324D7"/>
    <w:rsid w:val="00E4434F"/>
    <w:rsid w:val="00E51887"/>
    <w:rsid w:val="00E53794"/>
    <w:rsid w:val="00E57003"/>
    <w:rsid w:val="00E5796C"/>
    <w:rsid w:val="00E67D1E"/>
    <w:rsid w:val="00E751F4"/>
    <w:rsid w:val="00E76E43"/>
    <w:rsid w:val="00E8553E"/>
    <w:rsid w:val="00E97104"/>
    <w:rsid w:val="00EA3C4E"/>
    <w:rsid w:val="00EA5338"/>
    <w:rsid w:val="00EB7153"/>
    <w:rsid w:val="00EC6A56"/>
    <w:rsid w:val="00EC76F4"/>
    <w:rsid w:val="00ED2FC1"/>
    <w:rsid w:val="00ED7681"/>
    <w:rsid w:val="00EE146F"/>
    <w:rsid w:val="00EF442F"/>
    <w:rsid w:val="00EF49CD"/>
    <w:rsid w:val="00F0171B"/>
    <w:rsid w:val="00F0613B"/>
    <w:rsid w:val="00F12745"/>
    <w:rsid w:val="00F44EF7"/>
    <w:rsid w:val="00F47183"/>
    <w:rsid w:val="00F51347"/>
    <w:rsid w:val="00F5459B"/>
    <w:rsid w:val="00F8145A"/>
    <w:rsid w:val="00F965A9"/>
    <w:rsid w:val="00FB7F18"/>
    <w:rsid w:val="00FC4FAD"/>
    <w:rsid w:val="00FC7347"/>
    <w:rsid w:val="00FE5EE9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qFormat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paragraph" w:customStyle="1" w:styleId="Proposal">
    <w:name w:val="Proposal"/>
    <w:basedOn w:val="BodyText"/>
    <w:qFormat/>
    <w:rsid w:val="00780BBC"/>
    <w:pPr>
      <w:numPr>
        <w:numId w:val="34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hAnsi="Arial" w:cstheme="minorBid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3</Pages>
  <Words>840</Words>
  <Characters>4789</Characters>
  <Application>Microsoft Office Word</Application>
  <DocSecurity>0</DocSecurity>
  <Lines>39</Lines>
  <Paragraphs>11</Paragraphs>
  <ScaleCrop>false</ScaleCrop>
  <Company>Qualcomm Incorporated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309</cp:revision>
  <dcterms:created xsi:type="dcterms:W3CDTF">2024-03-19T10:25:00Z</dcterms:created>
  <dcterms:modified xsi:type="dcterms:W3CDTF">2024-11-08T11:39:00Z</dcterms:modified>
</cp:coreProperties>
</file>